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609AD65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B08F8" w:rsidRPr="004670CF">
        <w:rPr>
          <w:rFonts w:cs="Arial"/>
          <w:b/>
          <w:szCs w:val="22"/>
        </w:rPr>
        <w:t>Realizace PSZ Železná u Libořic a Milčeves</w:t>
      </w:r>
    </w:p>
    <w:p w14:paraId="33661A81" w14:textId="70005688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0B08F8" w:rsidRPr="00996398">
        <w:rPr>
          <w:szCs w:val="22"/>
        </w:rPr>
        <w:t>podlimitní veřejná zakázka na stavební práce zadávaná ve 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1112D6AA" w:rsidR="002A1F49" w:rsidRPr="00A45F76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C54A8A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B08F8">
      <w:rPr>
        <w:rFonts w:cs="Arial"/>
        <w:b/>
        <w:szCs w:val="20"/>
      </w:rPr>
      <w:t>9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08F8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8</cp:revision>
  <cp:lastPrinted>2022-02-09T07:14:00Z</cp:lastPrinted>
  <dcterms:created xsi:type="dcterms:W3CDTF">2022-02-20T09:23:00Z</dcterms:created>
  <dcterms:modified xsi:type="dcterms:W3CDTF">2023-04-17T06:54:00Z</dcterms:modified>
</cp:coreProperties>
</file>